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59" w:rsidRPr="005126F0" w:rsidRDefault="00080859" w:rsidP="00080859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Информация </w:t>
      </w:r>
      <w:r w:rsidRPr="005126F0">
        <w:rPr>
          <w:b/>
          <w:bCs/>
        </w:rPr>
        <w:t xml:space="preserve">Департамента образования и молодежной политики Ханты-Мансийского автономного округа – Югры </w:t>
      </w:r>
    </w:p>
    <w:p w:rsidR="005C3B7B" w:rsidRPr="005126F0" w:rsidRDefault="00080859" w:rsidP="005C3B7B">
      <w:pPr>
        <w:pStyle w:val="ConsPlusNormal"/>
        <w:jc w:val="center"/>
      </w:pPr>
      <w:r>
        <w:rPr>
          <w:b/>
          <w:bCs/>
        </w:rPr>
        <w:t xml:space="preserve">на тему </w:t>
      </w:r>
      <w:r w:rsidR="005126F0">
        <w:rPr>
          <w:b/>
          <w:bCs/>
        </w:rPr>
        <w:t>«</w:t>
      </w:r>
      <w:r w:rsidR="005C3B7B" w:rsidRPr="005126F0">
        <w:rPr>
          <w:b/>
          <w:bCs/>
        </w:rPr>
        <w:t>Актуальные вопросы реализации федерального законодательства и законодательства Ханты-Мансийского автономного округа – Югры</w:t>
      </w:r>
      <w:r w:rsidR="005C7569">
        <w:rPr>
          <w:b/>
          <w:bCs/>
        </w:rPr>
        <w:t xml:space="preserve"> в сфере образования</w:t>
      </w:r>
      <w:bookmarkStart w:id="0" w:name="_GoBack"/>
      <w:bookmarkEnd w:id="0"/>
      <w:r w:rsidR="005126F0">
        <w:rPr>
          <w:b/>
          <w:bCs/>
        </w:rPr>
        <w:t>»</w:t>
      </w:r>
    </w:p>
    <w:p w:rsidR="00080859" w:rsidRDefault="00080859" w:rsidP="00080859">
      <w:pPr>
        <w:pStyle w:val="ConsPlusNormal"/>
        <w:jc w:val="center"/>
        <w:rPr>
          <w:b/>
          <w:bCs/>
        </w:rPr>
      </w:pPr>
    </w:p>
    <w:p w:rsidR="005C7569" w:rsidRPr="00DA6313" w:rsidRDefault="005C7569" w:rsidP="005C7569">
      <w:pPr>
        <w:pStyle w:val="ConsPlusNormal"/>
        <w:ind w:firstLine="709"/>
        <w:jc w:val="both"/>
        <w:rPr>
          <w:color w:val="FF0000"/>
        </w:rPr>
      </w:pPr>
      <w:r w:rsidRPr="00DA6313">
        <w:rPr>
          <w:color w:val="FF0000"/>
        </w:rPr>
        <w:t>Слайд 2</w:t>
      </w:r>
      <w:r>
        <w:rPr>
          <w:color w:val="FF0000"/>
        </w:rPr>
        <w:t>,3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 xml:space="preserve">Одна из главных задач федерального законодательства и законодательства Ханты-Мансийского автономного округа – Югры в сфере «Образование» - обеспечение доступности качественного образования. В связи с чем, продолжена модернизация региональных систем образования, направленная на достижение ориентиров, закрепленных в майских Указах Президента Российской Федерации, национальной образовательной инициативе «Наша новая школа», Стратегии – 2030, в «Плане мероприятий («дорожной карте») «Изменения в отраслях социальной сферы, направленные на повышение эффективности образования и науки в Ханты-Мансийском автономном округе – Югре». 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 xml:space="preserve">Вводятся новые образовательные стандарты, формируется гибкая система </w:t>
      </w:r>
      <w:proofErr w:type="gramStart"/>
      <w:r w:rsidRPr="004D4A59">
        <w:t>непрерывного</w:t>
      </w:r>
      <w:proofErr w:type="gramEnd"/>
      <w:r w:rsidRPr="004D4A59">
        <w:t xml:space="preserve"> образования, создаются инфраструктура и организационно-экономические механизмы, обеспечивающие в условиях ограниченных финансовых ресурсов, доступность образования.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 xml:space="preserve">Консолидация финансовых ресурсов в государственной программе «Развитие образования в Ханты-Мансийском автономном округе – Югре на 2014-2020 годы» позволила реализовать комплекс мероприятий по решению основных задач модернизации отрасли. Показатели, характеризующие уровень развития образования в Югре за 2010-2015 годы, представлены на </w:t>
      </w:r>
      <w:r w:rsidRPr="00DA6313">
        <w:rPr>
          <w:color w:val="FF0000"/>
        </w:rPr>
        <w:t>слайде</w:t>
      </w:r>
      <w:proofErr w:type="gramStart"/>
      <w:r>
        <w:rPr>
          <w:color w:val="FF0000"/>
        </w:rPr>
        <w:t xml:space="preserve"> </w:t>
      </w:r>
      <w:r w:rsidRPr="00DA6313">
        <w:rPr>
          <w:color w:val="FF0000"/>
        </w:rPr>
        <w:t>.</w:t>
      </w:r>
      <w:proofErr w:type="gramEnd"/>
      <w:r w:rsidRPr="004D4A59">
        <w:t xml:space="preserve"> </w:t>
      </w:r>
    </w:p>
    <w:p w:rsidR="005C7569" w:rsidRPr="00DA6313" w:rsidRDefault="005C7569" w:rsidP="005C7569">
      <w:pPr>
        <w:pStyle w:val="ConsPlusNormal"/>
        <w:ind w:firstLine="709"/>
        <w:jc w:val="both"/>
        <w:rPr>
          <w:color w:val="FF0000"/>
        </w:rPr>
      </w:pPr>
      <w:r w:rsidRPr="00DA6313">
        <w:rPr>
          <w:color w:val="FF0000"/>
        </w:rPr>
        <w:t xml:space="preserve">Слайд </w:t>
      </w:r>
      <w:r>
        <w:rPr>
          <w:color w:val="FF0000"/>
        </w:rPr>
        <w:t>4</w:t>
      </w:r>
    </w:p>
    <w:p w:rsidR="005C7569" w:rsidRPr="004D4A59" w:rsidRDefault="005C7569" w:rsidP="005C7569">
      <w:pPr>
        <w:pStyle w:val="ConsPlusNormal"/>
        <w:ind w:firstLine="709"/>
        <w:jc w:val="both"/>
      </w:pPr>
      <w:proofErr w:type="gramStart"/>
      <w:r>
        <w:t>В соответствии с поручением Президента Российской Федерации от 5 декабря 2014 г. № Пр-2821 (подпункт 26 пункта 1) о</w:t>
      </w:r>
      <w:r w:rsidRPr="008A0335">
        <w:t xml:space="preserve"> создани</w:t>
      </w:r>
      <w:r>
        <w:t>и</w:t>
      </w:r>
      <w:r w:rsidRPr="008A0335">
        <w:t xml:space="preserve"> в субъектах Российской Федерации новых мест в общеобразовательных организациях,</w:t>
      </w:r>
      <w:r>
        <w:t xml:space="preserve"> в</w:t>
      </w:r>
      <w:r w:rsidRPr="004D4A59">
        <w:t xml:space="preserve"> 2015 году в Югре введено в эксплуатацию 8 школ общей мощностью 1841 учащихся, в том числе 6 школ общей мощностью 540 учащихся в составе комплексов «школа-детский сад».</w:t>
      </w:r>
      <w:proofErr w:type="gramEnd"/>
      <w:r w:rsidRPr="004D4A59">
        <w:t xml:space="preserve"> Кроме того, в г. </w:t>
      </w:r>
      <w:proofErr w:type="gramStart"/>
      <w:r w:rsidRPr="004D4A59">
        <w:t>Сургуте</w:t>
      </w:r>
      <w:proofErr w:type="gramEnd"/>
      <w:r w:rsidRPr="004D4A59">
        <w:t xml:space="preserve"> закончены работы по расширению </w:t>
      </w:r>
      <w:proofErr w:type="spellStart"/>
      <w:r w:rsidRPr="004D4A59">
        <w:t>Сургутской</w:t>
      </w:r>
      <w:proofErr w:type="spellEnd"/>
      <w:r w:rsidRPr="004D4A59">
        <w:t xml:space="preserve"> специальной (коррекционной) образовательной школы VIII вида», введены мастерские, спортивный блок.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 xml:space="preserve">В г. </w:t>
      </w:r>
      <w:proofErr w:type="gramStart"/>
      <w:r w:rsidRPr="004D4A59">
        <w:t>Сургуте</w:t>
      </w:r>
      <w:proofErr w:type="gramEnd"/>
      <w:r w:rsidRPr="004D4A59">
        <w:t xml:space="preserve"> приемка общеобразовательной школы прошла с участием общественности. Такая форма контроля строительства и ввода социальных объектов, как общественная приемка инициирована Губернатором автономного округа. 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>Югра стала первым в РФ регионом, где новые социальные объекты проверяют не только сотрудники уполномоченных ведомств, но и представители сферы образования, культуры, депутаты, маломобильные граждане.</w:t>
      </w:r>
    </w:p>
    <w:p w:rsidR="005C7569" w:rsidRPr="00DA6313" w:rsidRDefault="005C7569" w:rsidP="005C7569">
      <w:pPr>
        <w:pStyle w:val="ConsPlusNormal"/>
        <w:ind w:firstLine="709"/>
        <w:jc w:val="both"/>
        <w:rPr>
          <w:color w:val="FF0000"/>
        </w:rPr>
      </w:pPr>
      <w:r w:rsidRPr="00DA6313">
        <w:rPr>
          <w:color w:val="FF0000"/>
        </w:rPr>
        <w:t xml:space="preserve">Слайд </w:t>
      </w:r>
      <w:r>
        <w:rPr>
          <w:color w:val="FF0000"/>
        </w:rPr>
        <w:t>5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lastRenderedPageBreak/>
        <w:t xml:space="preserve">Правительством РФ утверждена государственная программа содействия созданию в субъектах РФ новых мест в общеобразовательных организациях на десятилетний период. </w:t>
      </w:r>
    </w:p>
    <w:p w:rsidR="005C7569" w:rsidRPr="00357AEB" w:rsidRDefault="005C7569" w:rsidP="005C7569">
      <w:pPr>
        <w:pStyle w:val="ConsPlusNormal"/>
        <w:ind w:firstLine="709"/>
        <w:jc w:val="both"/>
      </w:pPr>
      <w:r>
        <w:rPr>
          <w:sz w:val="26"/>
          <w:szCs w:val="26"/>
        </w:rPr>
        <w:t xml:space="preserve">В 2016 году </w:t>
      </w:r>
      <w:r w:rsidRPr="00357AEB">
        <w:t xml:space="preserve">в соответствии с распоряжением Правительства Российской Федерации от 23 октября 2015 года № 2145-р </w:t>
      </w:r>
      <w:r>
        <w:t xml:space="preserve">разработана аналогичная региональная </w:t>
      </w:r>
      <w:r w:rsidRPr="00357AEB">
        <w:t>программ</w:t>
      </w:r>
      <w:r>
        <w:t>а</w:t>
      </w:r>
      <w:r w:rsidRPr="00357AEB">
        <w:t>.</w:t>
      </w:r>
      <w:r>
        <w:t xml:space="preserve"> Ожидаемые результаты этой госпрограммы вы можете увидеть на слайде.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>Задача эта очень масштабная удельный вес обучающихся в Югре во вторую смену, от общего количества обучающихся, составляет 25,0%. При этом необходимо учитывать положительную демографическую динамику, увеличение ежегодного количества школьников, износ значительного количества школьных зданий, построенных в середине прошлого века. Реализация программы планируется в два этапа. На первом этапе (к 2020 году) предполагается перевести 1–4-е классы, то есть начальную школу, и 10–11-е классы на обучение в одну смену, естественно, при удержании существующего односменного режима обучения. На втором этапе (к 2025 году) обучение в одну смену будет введено и для всех обучающихся 5–9-х классов. При этом 100% школьников из зданий школ с износом более 50% и выше будет переведено в новые школы.</w:t>
      </w:r>
    </w:p>
    <w:p w:rsidR="005C7569" w:rsidRPr="00DA6313" w:rsidRDefault="005C7569" w:rsidP="005C7569">
      <w:pPr>
        <w:pStyle w:val="ConsPlusNormal"/>
        <w:ind w:firstLine="709"/>
        <w:jc w:val="both"/>
        <w:rPr>
          <w:color w:val="FF0000"/>
        </w:rPr>
      </w:pPr>
      <w:r w:rsidRPr="00DA6313">
        <w:rPr>
          <w:color w:val="FF0000"/>
        </w:rPr>
        <w:t xml:space="preserve">Слайд </w:t>
      </w:r>
      <w:r>
        <w:rPr>
          <w:color w:val="FF0000"/>
        </w:rPr>
        <w:t>6</w:t>
      </w:r>
    </w:p>
    <w:p w:rsidR="005C7569" w:rsidRPr="004D4A59" w:rsidRDefault="005C7569" w:rsidP="005C7569">
      <w:pPr>
        <w:pStyle w:val="ConsPlusNormal"/>
        <w:ind w:firstLine="709"/>
        <w:jc w:val="both"/>
      </w:pPr>
      <w:r>
        <w:t xml:space="preserve">В дошкольном </w:t>
      </w:r>
      <w:proofErr w:type="gramStart"/>
      <w:r>
        <w:t>образовании</w:t>
      </w:r>
      <w:proofErr w:type="gramEnd"/>
      <w:r>
        <w:t xml:space="preserve">. </w:t>
      </w:r>
      <w:r w:rsidRPr="004D4A59">
        <w:t>По итогам 2015 года значение показателя установленного 599-ым Указом Президента РФ доступность дошкольного образования для детей от 3-х лет составила 100,0 % (2012 год – 84,9 %). Поручение Президента РФ выполнено в полном объеме!</w:t>
      </w:r>
    </w:p>
    <w:p w:rsidR="005C7569" w:rsidRPr="004D4A59" w:rsidRDefault="005C7569" w:rsidP="005C7569">
      <w:pPr>
        <w:pStyle w:val="ConsPlusNormal"/>
        <w:ind w:firstLine="709"/>
        <w:jc w:val="both"/>
      </w:pPr>
      <w:proofErr w:type="gramStart"/>
      <w:r w:rsidRPr="004D4A59">
        <w:t>В автономном округе за период с 2012 года построено 76 детских садов на 14,1 тыс. мест.</w:t>
      </w:r>
      <w:proofErr w:type="gramEnd"/>
      <w:r w:rsidRPr="004D4A59">
        <w:t xml:space="preserve"> Это беспрецедентные цифры, в 2015 году введено 25 новых зданий детских садов на 3793 мест. 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 xml:space="preserve">Однако мы не останавливаемся на </w:t>
      </w:r>
      <w:proofErr w:type="gramStart"/>
      <w:r w:rsidRPr="004D4A59">
        <w:t>достигнутом</w:t>
      </w:r>
      <w:proofErr w:type="gramEnd"/>
      <w:r w:rsidRPr="004D4A59">
        <w:t xml:space="preserve">. В </w:t>
      </w:r>
      <w:proofErr w:type="gramStart"/>
      <w:r w:rsidRPr="004D4A59">
        <w:t>условиях</w:t>
      </w:r>
      <w:proofErr w:type="gramEnd"/>
      <w:r w:rsidRPr="004D4A59">
        <w:t xml:space="preserve"> стабильного демографического роста наша задача удержать этот результат и в ближайшие годы обеспечить доступность дошкольного образования для детей младшего дошкольного возраста до 3 лет. 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>Ведется системная работа по созданию условий для развития конкуренции на рынке услуг дошкольного образования, стимулированию негосударственного сектора к получению лицензии на осуществление образовательной деятельности.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>Реализуется пилотный проект «</w:t>
      </w:r>
      <w:proofErr w:type="spellStart"/>
      <w:r w:rsidRPr="004D4A59">
        <w:t>Билдинг</w:t>
      </w:r>
      <w:proofErr w:type="spellEnd"/>
      <w:r w:rsidRPr="004D4A59">
        <w:t>–сад». В 2015 году введены 3 «</w:t>
      </w:r>
      <w:proofErr w:type="spellStart"/>
      <w:r w:rsidRPr="004D4A59">
        <w:t>Билдинг</w:t>
      </w:r>
      <w:proofErr w:type="spellEnd"/>
      <w:r w:rsidRPr="004D4A59">
        <w:t xml:space="preserve"> </w:t>
      </w:r>
      <w:proofErr w:type="gramStart"/>
      <w:r w:rsidRPr="004D4A59">
        <w:t>–с</w:t>
      </w:r>
      <w:proofErr w:type="gramEnd"/>
      <w:r w:rsidRPr="004D4A59">
        <w:t>ада» на 225 мест. Всего в перечень объектов капитального строительства на 2014-2020 годы включено строительство 13 «</w:t>
      </w:r>
      <w:proofErr w:type="spellStart"/>
      <w:r w:rsidRPr="004D4A59">
        <w:t>Билдинг</w:t>
      </w:r>
      <w:proofErr w:type="spellEnd"/>
      <w:r w:rsidRPr="004D4A59">
        <w:t>-садов» на 1027 мест.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 xml:space="preserve">Созданы условия, позволяющие предпринимателям, получившим лицензию, участвовать в бюджетном </w:t>
      </w:r>
      <w:proofErr w:type="gramStart"/>
      <w:r w:rsidRPr="004D4A59">
        <w:t>финансировании</w:t>
      </w:r>
      <w:proofErr w:type="gramEnd"/>
      <w:r w:rsidRPr="004D4A59">
        <w:t xml:space="preserve"> на программы дошкольного образования. </w:t>
      </w:r>
      <w:r>
        <w:t>В 2015 году 11 частных дошкольных организаций из средств бюджета автономного округа получили 67,3 млн. рублей на реализацию основных общеобразовательных программ дошкольного образования.</w:t>
      </w:r>
    </w:p>
    <w:p w:rsidR="005C7569" w:rsidRDefault="005C7569" w:rsidP="005C7569">
      <w:pPr>
        <w:pStyle w:val="ConsPlusNormal"/>
        <w:ind w:firstLine="709"/>
        <w:jc w:val="both"/>
        <w:rPr>
          <w:spacing w:val="-1"/>
        </w:rPr>
      </w:pPr>
      <w:r w:rsidRPr="004D4A59">
        <w:lastRenderedPageBreak/>
        <w:t xml:space="preserve">Сформирована нормативная база и регламент по применению «сертификата дошкольника», обеспечивающего равное финансирование деятельности садиков вне зависимости от формы собственности. Обладатель сертификата может рассчитывать на </w:t>
      </w:r>
      <w:proofErr w:type="spellStart"/>
      <w:r w:rsidRPr="004D4A59">
        <w:t>госфинансирование</w:t>
      </w:r>
      <w:proofErr w:type="spellEnd"/>
      <w:r w:rsidRPr="004D4A59">
        <w:t xml:space="preserve"> независимо от того, какую он выбрал дошкольную организацию - частную или бюджетную.</w:t>
      </w:r>
      <w:r w:rsidRPr="00D37BA4">
        <w:rPr>
          <w:spacing w:val="-1"/>
        </w:rPr>
        <w:t xml:space="preserve"> </w:t>
      </w:r>
      <w:r>
        <w:rPr>
          <w:spacing w:val="-1"/>
        </w:rPr>
        <w:t xml:space="preserve">В бюджете автономного округа на эти цели предусмотрено в 2016 году более 35,0 </w:t>
      </w:r>
      <w:proofErr w:type="spellStart"/>
      <w:r>
        <w:rPr>
          <w:spacing w:val="-1"/>
        </w:rPr>
        <w:t>млн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</w:t>
      </w:r>
      <w:proofErr w:type="spellEnd"/>
      <w:r>
        <w:rPr>
          <w:spacing w:val="-1"/>
        </w:rPr>
        <w:t>.</w:t>
      </w:r>
    </w:p>
    <w:p w:rsidR="005C7569" w:rsidRPr="004D4A59" w:rsidRDefault="005C7569" w:rsidP="005C7569">
      <w:pPr>
        <w:pStyle w:val="ConsPlusNormal"/>
        <w:ind w:firstLine="709"/>
        <w:jc w:val="both"/>
      </w:pPr>
      <w:r w:rsidRPr="004D4A59">
        <w:t>Во всех муниципальных образованиях завершено тестирование функционала автоматизированной информационной системы «Электронный детский сад».</w:t>
      </w:r>
    </w:p>
    <w:p w:rsidR="005C7569" w:rsidRPr="00DA6313" w:rsidRDefault="005C7569" w:rsidP="005C7569">
      <w:pPr>
        <w:pStyle w:val="ConsPlusNormal"/>
        <w:ind w:firstLine="709"/>
        <w:jc w:val="both"/>
        <w:rPr>
          <w:color w:val="FF0000"/>
        </w:rPr>
      </w:pPr>
      <w:r w:rsidRPr="00DA6313">
        <w:rPr>
          <w:color w:val="FF0000"/>
        </w:rPr>
        <w:t xml:space="preserve">Слайд </w:t>
      </w:r>
      <w:r>
        <w:rPr>
          <w:color w:val="FF0000"/>
        </w:rPr>
        <w:t>7</w:t>
      </w:r>
    </w:p>
    <w:p w:rsidR="005C7569" w:rsidRPr="00303EDF" w:rsidRDefault="005C7569" w:rsidP="005C7569">
      <w:pPr>
        <w:pStyle w:val="ConsPlusNormal"/>
        <w:ind w:firstLine="709"/>
        <w:jc w:val="both"/>
      </w:pPr>
      <w:r w:rsidRPr="00303EDF">
        <w:t xml:space="preserve">В результате реформы системы образования, стартовавшей в 2013 году, все школы и детские сады в России должны стать </w:t>
      </w:r>
      <w:proofErr w:type="gramStart"/>
      <w:r w:rsidRPr="00303EDF">
        <w:t>доступными</w:t>
      </w:r>
      <w:proofErr w:type="gramEnd"/>
      <w:r w:rsidRPr="00303EDF">
        <w:t xml:space="preserve"> для детей-инвалидов.</w:t>
      </w:r>
    </w:p>
    <w:p w:rsidR="005C7569" w:rsidRPr="00303EDF" w:rsidRDefault="005C7569" w:rsidP="005C7569">
      <w:pPr>
        <w:pStyle w:val="ConsPlusNormal"/>
        <w:ind w:firstLine="709"/>
        <w:jc w:val="both"/>
      </w:pPr>
      <w:r w:rsidRPr="00303EDF">
        <w:t>В Югре разработана необходимая нормативная правовая база, направленная на создание условий для получения качественного образования лиц с ограниченными возможностями здоровья.</w:t>
      </w:r>
    </w:p>
    <w:p w:rsidR="005C7569" w:rsidRPr="00303EDF" w:rsidRDefault="005C7569" w:rsidP="005C7569">
      <w:pPr>
        <w:pStyle w:val="ConsPlusNormal"/>
        <w:ind w:firstLine="709"/>
        <w:jc w:val="both"/>
      </w:pPr>
      <w:r w:rsidRPr="00303EDF">
        <w:t xml:space="preserve">В муниципальных общеобразовательных </w:t>
      </w:r>
      <w:proofErr w:type="gramStart"/>
      <w:r w:rsidRPr="00303EDF">
        <w:t>организациях</w:t>
      </w:r>
      <w:proofErr w:type="gramEnd"/>
      <w:r w:rsidRPr="00303EDF">
        <w:t xml:space="preserve"> созданы спе</w:t>
      </w:r>
      <w:r>
        <w:t>циальные (коррекционные) классы</w:t>
      </w:r>
      <w:r w:rsidRPr="00303EDF">
        <w:t xml:space="preserve">. </w:t>
      </w:r>
    </w:p>
    <w:p w:rsidR="005C7569" w:rsidRPr="00303EDF" w:rsidRDefault="005C7569" w:rsidP="005C7569">
      <w:pPr>
        <w:pStyle w:val="ConsPlusNormal"/>
        <w:ind w:firstLine="709"/>
        <w:jc w:val="both"/>
      </w:pPr>
      <w:r w:rsidRPr="00303EDF">
        <w:t xml:space="preserve">В 19 профессиональных образовательных </w:t>
      </w:r>
      <w:proofErr w:type="gramStart"/>
      <w:r w:rsidRPr="00303EDF">
        <w:t>организациях</w:t>
      </w:r>
      <w:proofErr w:type="gramEnd"/>
      <w:r w:rsidRPr="00303EDF">
        <w:t xml:space="preserve"> Ханты-Мансийского автономного округа – Югры и в 3 организациях высшего образования обучаются 175 инвалидов.</w:t>
      </w:r>
    </w:p>
    <w:p w:rsidR="005C7569" w:rsidRPr="00303EDF" w:rsidRDefault="005C7569" w:rsidP="005C7569">
      <w:pPr>
        <w:pStyle w:val="ConsPlusNormal"/>
        <w:ind w:firstLine="709"/>
        <w:jc w:val="both"/>
      </w:pPr>
      <w:proofErr w:type="gramStart"/>
      <w:r w:rsidRPr="00303EDF">
        <w:t>Учитывая ряд принятых мер по развитию инклюзивного образования, распространению современных реализованных в 2015 году моделей успешной социализации детей:</w:t>
      </w:r>
      <w:proofErr w:type="gramEnd"/>
    </w:p>
    <w:p w:rsidR="005C7569" w:rsidRPr="00303EDF" w:rsidRDefault="005C7569" w:rsidP="005C7569">
      <w:pPr>
        <w:pStyle w:val="ConsPlusNormal"/>
        <w:ind w:firstLine="709"/>
        <w:jc w:val="both"/>
      </w:pPr>
      <w:r w:rsidRPr="00303EDF">
        <w:t>74% детей с ОВЗ и детей-инвалидов охвачены современными программами социализации;</w:t>
      </w:r>
    </w:p>
    <w:p w:rsidR="005C7569" w:rsidRPr="00303EDF" w:rsidRDefault="005C7569" w:rsidP="005C7569">
      <w:pPr>
        <w:pStyle w:val="ConsPlusNormal"/>
        <w:ind w:firstLine="709"/>
        <w:jc w:val="both"/>
      </w:pPr>
      <w:r w:rsidRPr="00303EDF">
        <w:t xml:space="preserve">В 61,6% организаций создана </w:t>
      </w:r>
      <w:proofErr w:type="spellStart"/>
      <w:r w:rsidRPr="00303EDF">
        <w:t>безбарьерная</w:t>
      </w:r>
      <w:proofErr w:type="spellEnd"/>
      <w:r w:rsidRPr="00303EDF">
        <w:t xml:space="preserve"> среда (рост показателя по сравнению с 2014 годом на 15,8 процентных пункта! 2014 год – 45,8%.) </w:t>
      </w:r>
    </w:p>
    <w:p w:rsidR="005C7569" w:rsidRPr="005126F0" w:rsidRDefault="005C7569" w:rsidP="005C7569">
      <w:pPr>
        <w:pStyle w:val="ConsPlusNormal"/>
        <w:ind w:firstLine="709"/>
        <w:jc w:val="both"/>
        <w:rPr>
          <w:color w:val="FF0000"/>
        </w:rPr>
      </w:pPr>
      <w:r w:rsidRPr="005126F0">
        <w:rPr>
          <w:color w:val="FF0000"/>
        </w:rPr>
        <w:t xml:space="preserve">Слайд </w:t>
      </w:r>
      <w:r>
        <w:rPr>
          <w:color w:val="FF0000"/>
        </w:rPr>
        <w:t>8</w:t>
      </w:r>
    </w:p>
    <w:p w:rsidR="005C7569" w:rsidRDefault="005C7569" w:rsidP="005C7569">
      <w:pPr>
        <w:pStyle w:val="ConsPlusNormal"/>
        <w:ind w:firstLine="709"/>
        <w:jc w:val="both"/>
      </w:pPr>
      <w:proofErr w:type="gramStart"/>
      <w:r>
        <w:t>В целях развития дополнительного образования в автономном округе в</w:t>
      </w:r>
      <w:r w:rsidRPr="00937335">
        <w:t xml:space="preserve"> июне 2015 года, подписано соглашение о сотрудничестве между Правительством Югры и автономной некоммерческой организацией «Агентство стратегических инициатив по продвижению новых проектов» (г. Москва) по реализации стратегической инициативы «Новая модель системы дополнительного образов</w:t>
      </w:r>
      <w:r>
        <w:t>ания детей»</w:t>
      </w:r>
      <w:r w:rsidRPr="00937335">
        <w:t xml:space="preserve">. </w:t>
      </w:r>
      <w:proofErr w:type="gramEnd"/>
    </w:p>
    <w:p w:rsidR="005C7569" w:rsidRPr="00937335" w:rsidRDefault="005C7569" w:rsidP="005C7569">
      <w:pPr>
        <w:pStyle w:val="ConsPlusNormal"/>
        <w:ind w:firstLine="709"/>
        <w:jc w:val="both"/>
      </w:pPr>
      <w:r w:rsidRPr="00937335">
        <w:t>Реализация инициативы подразумевает создание сети детских технопарков, где дети могли бы получать дополнительное образование по техниче</w:t>
      </w:r>
      <w:r>
        <w:t>ским и инженерным направлениям</w:t>
      </w:r>
      <w:r w:rsidRPr="00937335">
        <w:t>.</w:t>
      </w:r>
    </w:p>
    <w:p w:rsidR="005C7569" w:rsidRDefault="005C7569" w:rsidP="005C7569">
      <w:pPr>
        <w:pStyle w:val="ConsPlusNormal"/>
        <w:ind w:firstLine="709"/>
        <w:jc w:val="both"/>
      </w:pPr>
      <w:r>
        <w:t xml:space="preserve">В 2015 году состоялось </w:t>
      </w:r>
      <w:r w:rsidRPr="00937335">
        <w:t xml:space="preserve">открытие </w:t>
      </w:r>
      <w:r>
        <w:t xml:space="preserve">2 </w:t>
      </w:r>
      <w:r w:rsidRPr="00937335">
        <w:t>детских технопарков</w:t>
      </w:r>
      <w:r>
        <w:t xml:space="preserve">. </w:t>
      </w:r>
    </w:p>
    <w:p w:rsidR="005C7569" w:rsidRDefault="005C7569" w:rsidP="005C7569">
      <w:pPr>
        <w:pStyle w:val="ConsPlusNormal"/>
        <w:ind w:firstLine="709"/>
        <w:jc w:val="both"/>
      </w:pPr>
      <w:r w:rsidRPr="005606DE">
        <w:t>Б</w:t>
      </w:r>
      <w:r>
        <w:t xml:space="preserve">олее 1 200 детей получили возможность осваивать новейшие образовательные программы технической направленности на современном оборудовании. </w:t>
      </w:r>
    </w:p>
    <w:p w:rsidR="005C7569" w:rsidRDefault="005C7569" w:rsidP="005C7569">
      <w:pPr>
        <w:pStyle w:val="ConsPlusNormal"/>
        <w:ind w:firstLine="709"/>
        <w:jc w:val="both"/>
      </w:pPr>
      <w:r>
        <w:lastRenderedPageBreak/>
        <w:t xml:space="preserve">С учетом открытия детских технопарков нам удалось за год увеличить охват обучающихся по программам технической направленности с </w:t>
      </w:r>
      <w:r w:rsidRPr="00B32508">
        <w:rPr>
          <w:color w:val="FF0000"/>
        </w:rPr>
        <w:t>6,76%</w:t>
      </w:r>
      <w:r>
        <w:t xml:space="preserve"> на начало 2015 года до </w:t>
      </w:r>
      <w:r w:rsidRPr="001E5449">
        <w:rPr>
          <w:color w:val="FF0000"/>
        </w:rPr>
        <w:t>7,41%</w:t>
      </w:r>
      <w:r>
        <w:t xml:space="preserve"> </w:t>
      </w:r>
      <w:proofErr w:type="gramStart"/>
      <w:r>
        <w:t>на конец</w:t>
      </w:r>
      <w:proofErr w:type="gramEnd"/>
      <w:r>
        <w:t xml:space="preserve"> 2015 года.</w:t>
      </w:r>
    </w:p>
    <w:p w:rsidR="005C7569" w:rsidRDefault="005C7569" w:rsidP="005C7569">
      <w:pPr>
        <w:pStyle w:val="ConsPlusNormal"/>
        <w:ind w:firstLine="709"/>
        <w:jc w:val="both"/>
      </w:pPr>
      <w:proofErr w:type="gramStart"/>
      <w:r w:rsidRPr="009D62CF">
        <w:t>Введенный</w:t>
      </w:r>
      <w:proofErr w:type="gramEnd"/>
      <w:r>
        <w:t xml:space="preserve"> </w:t>
      </w:r>
      <w:r w:rsidRPr="009D62CF">
        <w:t>в 2014 году</w:t>
      </w:r>
      <w:r>
        <w:t xml:space="preserve">, </w:t>
      </w:r>
      <w:proofErr w:type="spellStart"/>
      <w:r w:rsidRPr="009D62CF">
        <w:t>интеракториум</w:t>
      </w:r>
      <w:proofErr w:type="spellEnd"/>
      <w:r w:rsidRPr="009D62CF">
        <w:t xml:space="preserve"> «Марс-</w:t>
      </w:r>
      <w:proofErr w:type="spellStart"/>
      <w:r w:rsidRPr="009D62CF">
        <w:t>Тефо</w:t>
      </w:r>
      <w:proofErr w:type="spellEnd"/>
      <w:r w:rsidRPr="009D62CF">
        <w:t>: Экспедиция в будущее» - новейший интерактивный модуль, посвященный исследованию Марса,</w:t>
      </w:r>
      <w:r>
        <w:t xml:space="preserve"> работает в штатном </w:t>
      </w:r>
      <w:proofErr w:type="gramStart"/>
      <w:r>
        <w:t>режиме</w:t>
      </w:r>
      <w:proofErr w:type="gramEnd"/>
      <w:r w:rsidRPr="009D62CF">
        <w:t xml:space="preserve">. Дети и молодежь в </w:t>
      </w:r>
      <w:proofErr w:type="gramStart"/>
      <w:r w:rsidRPr="009D62CF">
        <w:t>возрасте</w:t>
      </w:r>
      <w:proofErr w:type="gramEnd"/>
      <w:r w:rsidRPr="009D62CF">
        <w:t xml:space="preserve"> от 7 до 25 лет в игровой форме, с использованием компьютерных технологий и программ </w:t>
      </w:r>
      <w:r>
        <w:t>могут</w:t>
      </w:r>
      <w:r w:rsidRPr="009D62CF">
        <w:t xml:space="preserve"> изучать естественные науки: химию, физику, геологию. Космическая станция, с эффектом полного погружения, обеспечивает пропускную способность около 200 человек в день</w:t>
      </w:r>
      <w:r>
        <w:t>.</w:t>
      </w:r>
    </w:p>
    <w:p w:rsidR="005C7569" w:rsidRDefault="005C7569" w:rsidP="005C7569">
      <w:pPr>
        <w:pStyle w:val="ConsPlusNormal"/>
        <w:ind w:firstLine="709"/>
        <w:jc w:val="both"/>
      </w:pPr>
      <w:r w:rsidRPr="005606DE">
        <w:t xml:space="preserve">Создаются условия для </w:t>
      </w:r>
      <w:r>
        <w:t>развития</w:t>
      </w:r>
      <w:r w:rsidRPr="005606DE">
        <w:t xml:space="preserve"> конкуренции на рынке дополнительного образования детей. Сегодня в Югре услуги дополнительного образования </w:t>
      </w:r>
      <w:proofErr w:type="gramStart"/>
      <w:r w:rsidRPr="005606DE">
        <w:t>оказывают 11 частных организаций</w:t>
      </w:r>
      <w:r>
        <w:t xml:space="preserve"> в них обучаются</w:t>
      </w:r>
      <w:proofErr w:type="gramEnd"/>
      <w:r>
        <w:t xml:space="preserve"> более 5 тыс. детей. Разработан Комплекс мер, направленный на </w:t>
      </w:r>
      <w:r w:rsidRPr="007C4E72">
        <w:t>развитие системы дополнительного образования в Югре</w:t>
      </w:r>
      <w:r>
        <w:t xml:space="preserve"> </w:t>
      </w:r>
      <w:r w:rsidRPr="007C4E72">
        <w:t>на основе перс</w:t>
      </w:r>
      <w:r>
        <w:t>онифицированного финансирования,</w:t>
      </w:r>
      <w:r w:rsidRPr="007C4E72">
        <w:t xml:space="preserve"> путем закрепления за участник</w:t>
      </w:r>
      <w:r>
        <w:t>ами</w:t>
      </w:r>
      <w:r w:rsidRPr="007C4E72">
        <w:t xml:space="preserve"> дополнительного образования </w:t>
      </w:r>
      <w:r>
        <w:t>г</w:t>
      </w:r>
      <w:r w:rsidRPr="007C4E72">
        <w:t>арантии оплаты получаемых услуг дополнительного образования</w:t>
      </w:r>
      <w:r>
        <w:t xml:space="preserve"> в организациях различной ведомственной подчиненности, статуса, организационно-правовой формы. До конца 2016 года планируется разработать и начать апробацию сертификата дополнительного образования.</w:t>
      </w:r>
      <w:r w:rsidRPr="005F75BC">
        <w:rPr>
          <w:sz w:val="26"/>
          <w:szCs w:val="26"/>
        </w:rPr>
        <w:t xml:space="preserve"> </w:t>
      </w:r>
      <w:proofErr w:type="gramStart"/>
      <w:r>
        <w:t>Кроме того, с целью привлечения средств федерального бюджета, мы примем участие в конкурсе на получение субсидии из средств федеральной целевой программы «Развитие образования на 2016-2020 годы» по направлению «формирование современных управленческих и организационно-экономических механизмов в системе дополнительного образования детей».</w:t>
      </w:r>
      <w:proofErr w:type="gramEnd"/>
    </w:p>
    <w:p w:rsidR="005C7569" w:rsidRPr="00DA6313" w:rsidRDefault="005C7569" w:rsidP="005C7569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A6313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</w:p>
    <w:p w:rsidR="005C7569" w:rsidRDefault="005C7569" w:rsidP="005C7569">
      <w:pPr>
        <w:pStyle w:val="ConsPlusNormal"/>
        <w:ind w:firstLine="709"/>
        <w:jc w:val="both"/>
      </w:pPr>
      <w:r>
        <w:t>В 2015 году из средств федерального бюджета на развитие системы образования было привлечено 249 769,30 тыс. рублей.</w:t>
      </w:r>
    </w:p>
    <w:p w:rsidR="005C7569" w:rsidRPr="005606DE" w:rsidRDefault="005C7569" w:rsidP="005C7569">
      <w:pPr>
        <w:pStyle w:val="ConsPlusNormal"/>
        <w:ind w:firstLine="709"/>
        <w:contextualSpacing/>
        <w:jc w:val="both"/>
      </w:pPr>
      <w:proofErr w:type="gramStart"/>
      <w:r>
        <w:t>В 2016 году Депобразования и молодежи Югры уже победил в конкурсе на получение федеральной субсидии по направлению «Модернизация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объединений» в размере 4 460,0 тыс. рублей.</w:t>
      </w:r>
      <w:proofErr w:type="gramEnd"/>
    </w:p>
    <w:p w:rsidR="005C7569" w:rsidRPr="00DA6313" w:rsidRDefault="005C7569" w:rsidP="005C75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A6313">
        <w:rPr>
          <w:rFonts w:ascii="Times New Roman" w:hAnsi="Times New Roman" w:cs="Times New Roman"/>
          <w:color w:val="FF0000"/>
          <w:sz w:val="28"/>
          <w:szCs w:val="28"/>
        </w:rPr>
        <w:t>Слайд</w:t>
      </w:r>
      <w:proofErr w:type="gramStart"/>
      <w:r w:rsidRPr="00DA63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5C7569" w:rsidRPr="00DB149A" w:rsidRDefault="005C7569" w:rsidP="005C7569">
      <w:pPr>
        <w:pStyle w:val="ConsPlusNormal"/>
        <w:ind w:firstLine="709"/>
        <w:contextualSpacing/>
        <w:jc w:val="both"/>
      </w:pPr>
      <w:r w:rsidRPr="00DB149A">
        <w:t>Одна из стратегических целей образования – обеспечение экономики квалифицированными кадрами. На территории Югры действуют 6 ресурсных центров и 2 многофункциональных центра прикладных квалификаций, во всех организациях профессионального образования работают центры содействия трудоустройству выпускников, организован мониторинг трудоустройства.</w:t>
      </w:r>
    </w:p>
    <w:p w:rsidR="005C7569" w:rsidRPr="00DB149A" w:rsidRDefault="005C7569" w:rsidP="005C7569">
      <w:pPr>
        <w:pStyle w:val="ConsPlusNormal"/>
        <w:ind w:firstLine="709"/>
        <w:jc w:val="both"/>
      </w:pPr>
      <w:r>
        <w:lastRenderedPageBreak/>
        <w:t>Деятельность</w:t>
      </w:r>
      <w:r w:rsidRPr="00DB149A">
        <w:t xml:space="preserve"> Многофункциональн</w:t>
      </w:r>
      <w:r>
        <w:t>ого</w:t>
      </w:r>
      <w:r w:rsidRPr="00DB149A">
        <w:t xml:space="preserve"> центр</w:t>
      </w:r>
      <w:r>
        <w:t>а</w:t>
      </w:r>
      <w:r w:rsidRPr="00DB149A">
        <w:t xml:space="preserve"> прикладных квалификаций на базе Сургутского политехнического колледжа ориентирована на подготовку кадров для машиностроения; энергетики; транспорта; автоматизации производства; строительства; сферы услуг. В 2015 году более 3,5 тыс. специалистов этих предприятий прошли обучение</w:t>
      </w:r>
      <w:r>
        <w:t>. Б</w:t>
      </w:r>
      <w:r w:rsidRPr="00DB149A">
        <w:t xml:space="preserve">олее 2,5 тыс. </w:t>
      </w:r>
      <w:r>
        <w:t xml:space="preserve">учащихся </w:t>
      </w:r>
      <w:r w:rsidRPr="00DB149A">
        <w:t>приняли участие</w:t>
      </w:r>
      <w:r>
        <w:t xml:space="preserve"> в </w:t>
      </w:r>
      <w:r w:rsidRPr="00DB149A">
        <w:t>экскурси</w:t>
      </w:r>
      <w:r>
        <w:t xml:space="preserve">ях, </w:t>
      </w:r>
      <w:r w:rsidRPr="00DB149A">
        <w:t>организованн</w:t>
      </w:r>
      <w:r>
        <w:t>ых в рамках программы профориентации</w:t>
      </w:r>
      <w:r w:rsidRPr="00DB149A">
        <w:t>.</w:t>
      </w:r>
    </w:p>
    <w:p w:rsidR="005C7569" w:rsidRPr="00DC79A6" w:rsidRDefault="005C7569" w:rsidP="005C7569">
      <w:pPr>
        <w:pStyle w:val="ConsPlusNormal"/>
        <w:ind w:firstLine="709"/>
        <w:jc w:val="both"/>
      </w:pPr>
      <w:r w:rsidRPr="00DC79A6">
        <w:t xml:space="preserve">Деятельность многофункционального центра прикладных квалификаций на базе Когалымского политехнического колледжа, </w:t>
      </w:r>
      <w:proofErr w:type="gramStart"/>
      <w:r w:rsidRPr="00DC79A6">
        <w:t>ориентирована на нефтяную отрасль и обеспечивает</w:t>
      </w:r>
      <w:proofErr w:type="gramEnd"/>
      <w:r w:rsidRPr="00DC79A6">
        <w:t xml:space="preserve"> непрерывное профессиональное образование и профессиональную подготовку кадров.</w:t>
      </w:r>
    </w:p>
    <w:p w:rsidR="005C7569" w:rsidRPr="00DC79A6" w:rsidRDefault="005C7569" w:rsidP="005C7569">
      <w:pPr>
        <w:pStyle w:val="ConsPlusNormal"/>
        <w:ind w:firstLine="709"/>
        <w:jc w:val="both"/>
      </w:pPr>
      <w:r w:rsidRPr="00DC79A6">
        <w:t>При поддержке ЛУКОЙЛа была обновлена материально-техническая база колледжа, запущен нефтяной полигон для отработки первичных навыков; модернизированы учебные кабинеты, учебно-производственные мастерские  лаборатории нефтяного направления.</w:t>
      </w:r>
    </w:p>
    <w:p w:rsidR="005C7569" w:rsidRPr="00DC79A6" w:rsidRDefault="005C7569" w:rsidP="005C7569">
      <w:pPr>
        <w:pStyle w:val="ConsPlusNormal"/>
        <w:ind w:firstLine="709"/>
        <w:jc w:val="both"/>
      </w:pPr>
      <w:r w:rsidRPr="00DC79A6">
        <w:t>Это позволило существенно расширить перечень видов реализуемых образовательных программ: дополнительно пролицензирован</w:t>
      </w:r>
      <w:r>
        <w:t>ы</w:t>
      </w:r>
      <w:r w:rsidRPr="00DC79A6">
        <w:t xml:space="preserve"> 61 программа профессиональной подготовки и 76 программ повышения квалификации (до реализации проекта осуществлялась профессиональная подготовка по 20 программам).  </w:t>
      </w:r>
    </w:p>
    <w:p w:rsidR="005C7569" w:rsidRPr="00DC79A6" w:rsidRDefault="005C7569" w:rsidP="005C7569">
      <w:pPr>
        <w:pStyle w:val="ConsPlusNormal"/>
        <w:ind w:firstLine="709"/>
        <w:jc w:val="both"/>
      </w:pPr>
      <w:r w:rsidRPr="00DC79A6">
        <w:t>Существенно трансформирована образовательная структура колледжа в части увеличения контингента обучающихся по краткосрочным программам более чем в 5 раз по заказам нефтяных компаний. По оценке итогов 2015 года более 15 тыс. работников отрасли прошли подготовку и переподготовку.</w:t>
      </w:r>
    </w:p>
    <w:p w:rsidR="005C7569" w:rsidRPr="00DC79A6" w:rsidRDefault="005C7569" w:rsidP="005C7569">
      <w:pPr>
        <w:pStyle w:val="ConsPlusNormal"/>
        <w:ind w:firstLine="709"/>
        <w:jc w:val="both"/>
      </w:pPr>
      <w:r w:rsidRPr="00DC79A6">
        <w:t xml:space="preserve">Профессиональное образование автономного округа активно включилось в движение </w:t>
      </w:r>
      <w:proofErr w:type="spellStart"/>
      <w:r w:rsidRPr="00DC79A6">
        <w:t>WorldSkills</w:t>
      </w:r>
      <w:proofErr w:type="spellEnd"/>
      <w:r w:rsidRPr="00DC79A6">
        <w:t xml:space="preserve"> </w:t>
      </w:r>
      <w:proofErr w:type="spellStart"/>
      <w:r w:rsidRPr="00DC79A6">
        <w:t>Russia</w:t>
      </w:r>
      <w:proofErr w:type="spellEnd"/>
      <w:r w:rsidRPr="00DC79A6">
        <w:t xml:space="preserve">. В 2015 году команда Югры приняла участие в полуфинале Национального чемпионата в Уральском федеральном округе по стандартам </w:t>
      </w:r>
      <w:proofErr w:type="spellStart"/>
      <w:r w:rsidRPr="00DC79A6">
        <w:t>WorldSkills</w:t>
      </w:r>
      <w:proofErr w:type="spellEnd"/>
      <w:r w:rsidRPr="00DC79A6">
        <w:t xml:space="preserve">. Команду Югры в 11 </w:t>
      </w:r>
      <w:proofErr w:type="gramStart"/>
      <w:r w:rsidRPr="00DC79A6">
        <w:t>компетенциях</w:t>
      </w:r>
      <w:proofErr w:type="gramEnd"/>
      <w:r w:rsidRPr="00DC79A6">
        <w:t xml:space="preserve"> Чемпионата представляли 7 образовательных организаций профессионального образования. В </w:t>
      </w:r>
      <w:proofErr w:type="gramStart"/>
      <w:r w:rsidRPr="00DC79A6">
        <w:t>результате</w:t>
      </w:r>
      <w:proofErr w:type="gramEnd"/>
      <w:r w:rsidRPr="00DC79A6">
        <w:t xml:space="preserve"> по 5 компетенциям заняты призовые места.</w:t>
      </w:r>
    </w:p>
    <w:p w:rsidR="005C7569" w:rsidRPr="00DC79A6" w:rsidRDefault="005C7569" w:rsidP="005C7569">
      <w:pPr>
        <w:pStyle w:val="ConsPlusNormal"/>
        <w:ind w:firstLine="709"/>
        <w:jc w:val="both"/>
      </w:pPr>
      <w:r w:rsidRPr="00DC79A6">
        <w:t xml:space="preserve">Принята Концепция и «дорожная карта» по созданию </w:t>
      </w:r>
      <w:proofErr w:type="spellStart"/>
      <w:r w:rsidRPr="00DC79A6">
        <w:t>инновационно</w:t>
      </w:r>
      <w:proofErr w:type="spellEnd"/>
      <w:r w:rsidRPr="00DC79A6">
        <w:t xml:space="preserve">-образовательного комплекса (Кампус) в г. Сургут как объединения научных, образовательных и социокультурных объектов, </w:t>
      </w:r>
      <w:proofErr w:type="spellStart"/>
      <w:r w:rsidRPr="00DC79A6">
        <w:t>интегрирующихся</w:t>
      </w:r>
      <w:proofErr w:type="spellEnd"/>
      <w:r w:rsidRPr="00DC79A6">
        <w:t xml:space="preserve"> в жизненное пространство автономного округа, при лидирующей роли </w:t>
      </w:r>
      <w:proofErr w:type="spellStart"/>
      <w:r w:rsidRPr="00DC79A6">
        <w:t>инновационно</w:t>
      </w:r>
      <w:proofErr w:type="spellEnd"/>
      <w:r w:rsidRPr="00DC79A6">
        <w:t>-научной составляющей.</w:t>
      </w:r>
    </w:p>
    <w:p w:rsidR="005C7569" w:rsidRPr="00DC79A6" w:rsidRDefault="005C7569" w:rsidP="005C7569">
      <w:pPr>
        <w:pStyle w:val="ConsPlusNormal"/>
        <w:ind w:firstLine="709"/>
        <w:jc w:val="both"/>
      </w:pPr>
      <w:r w:rsidRPr="00DC79A6">
        <w:t xml:space="preserve">Перспективный образовательный компонент комплекса </w:t>
      </w:r>
      <w:proofErr w:type="gramStart"/>
      <w:r w:rsidRPr="00DC79A6">
        <w:t>удовлетворит спрос на специалистов разных профилей и ответит</w:t>
      </w:r>
      <w:proofErr w:type="gramEnd"/>
      <w:r w:rsidRPr="00DC79A6">
        <w:t xml:space="preserve"> потребностям региональной нефтегазовой промышленности в высококлассных профессионалах для осуществления технологической модернизации, стимулирующей экономический рост региона. </w:t>
      </w:r>
    </w:p>
    <w:p w:rsidR="005C7569" w:rsidRPr="005C7569" w:rsidRDefault="005C7569" w:rsidP="005C7569">
      <w:pPr>
        <w:pStyle w:val="ConsPlusNormal"/>
        <w:ind w:firstLine="709"/>
        <w:jc w:val="both"/>
      </w:pPr>
      <w:r w:rsidRPr="005C7569">
        <w:t xml:space="preserve">Отдельно хочется сказать, что в 2015 году, благодаря поддержке Думы Югры решен вопрос нормативного правового обеспечения организации питания </w:t>
      </w:r>
      <w:proofErr w:type="gramStart"/>
      <w:r w:rsidRPr="005C7569">
        <w:t>обучающихся</w:t>
      </w:r>
      <w:proofErr w:type="gramEnd"/>
      <w:r w:rsidRPr="005C7569">
        <w:t xml:space="preserve">. </w:t>
      </w:r>
    </w:p>
    <w:p w:rsidR="005C7569" w:rsidRDefault="005C7569" w:rsidP="005C7569">
      <w:pPr>
        <w:pStyle w:val="ConsPlusNormal"/>
        <w:ind w:firstLine="709"/>
        <w:jc w:val="both"/>
      </w:pPr>
      <w:r>
        <w:lastRenderedPageBreak/>
        <w:t xml:space="preserve">Проведено широкое общественное обсуждение, внесены изменения в законодательство автономного округа, в </w:t>
      </w:r>
      <w:proofErr w:type="gramStart"/>
      <w:r>
        <w:t>соответствии</w:t>
      </w:r>
      <w:proofErr w:type="gramEnd"/>
      <w:r>
        <w:t xml:space="preserve"> с которыми была сохранена мера социальной поддержки для льготных категорий обучающихся.</w:t>
      </w:r>
    </w:p>
    <w:p w:rsidR="005C7569" w:rsidRDefault="005C7569" w:rsidP="005C7569">
      <w:pPr>
        <w:pStyle w:val="ConsPlusNormal"/>
        <w:ind w:firstLine="709"/>
        <w:jc w:val="both"/>
      </w:pPr>
      <w:r>
        <w:t xml:space="preserve">И с 1 сентября 2015 года размер расходов на организацию и обеспечение питанием льготных категорий обучающихся был увеличен с 112 до 126 рублей, дополнительно предусмотрены средства на удорожание питания в </w:t>
      </w:r>
      <w:proofErr w:type="gramStart"/>
      <w:r>
        <w:t>случаях</w:t>
      </w:r>
      <w:proofErr w:type="gramEnd"/>
      <w:r>
        <w:t>, если питание предоставляется организациями общественного питания, в размере 60%</w:t>
      </w:r>
    </w:p>
    <w:p w:rsidR="005C7569" w:rsidRPr="00375372" w:rsidRDefault="005C7569" w:rsidP="005C7569">
      <w:pPr>
        <w:pStyle w:val="ConsPlusNormal"/>
        <w:ind w:firstLine="709"/>
        <w:jc w:val="both"/>
      </w:pPr>
      <w:r>
        <w:t xml:space="preserve">Для не льготных категорий обучающихся общеобразовательных организаций на уровне 2015 года выделяются средства в размере 44 рубля на 1 обучающегося в день на организацию и обеспечение одноразовым питанием. </w:t>
      </w:r>
    </w:p>
    <w:p w:rsidR="005C7569" w:rsidRPr="005505EF" w:rsidRDefault="005C7569" w:rsidP="005C7569">
      <w:pPr>
        <w:pStyle w:val="ConsPlusNormal"/>
        <w:ind w:firstLine="709"/>
        <w:jc w:val="both"/>
      </w:pPr>
      <w:r w:rsidRPr="0076218C">
        <w:t xml:space="preserve">Все </w:t>
      </w:r>
      <w:r>
        <w:t xml:space="preserve">вышеуказанные меры поддержки предоставляются </w:t>
      </w:r>
      <w:proofErr w:type="gramStart"/>
      <w:r>
        <w:t>обучающимся</w:t>
      </w:r>
      <w:proofErr w:type="gramEnd"/>
      <w:r>
        <w:t xml:space="preserve"> как государственных (муниципальных) организаций, так и негосударственных (частных) организаций профессионального образования и общеобразовательных организаций. </w:t>
      </w:r>
    </w:p>
    <w:p w:rsidR="00B22361" w:rsidRDefault="00B22361" w:rsidP="005C7569">
      <w:pPr>
        <w:pStyle w:val="ConsPlusNormal"/>
        <w:ind w:firstLine="709"/>
        <w:jc w:val="both"/>
      </w:pPr>
    </w:p>
    <w:sectPr w:rsidR="00B22361" w:rsidSect="00784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BD3" w:rsidRDefault="009A0BD3" w:rsidP="008304BB">
      <w:pPr>
        <w:spacing w:after="0" w:line="240" w:lineRule="auto"/>
      </w:pPr>
      <w:r>
        <w:separator/>
      </w:r>
    </w:p>
  </w:endnote>
  <w:endnote w:type="continuationSeparator" w:id="0">
    <w:p w:rsidR="009A0BD3" w:rsidRDefault="009A0BD3" w:rsidP="00830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BD3" w:rsidRDefault="009A0BD3" w:rsidP="008304BB">
      <w:pPr>
        <w:spacing w:after="0" w:line="240" w:lineRule="auto"/>
      </w:pPr>
      <w:r>
        <w:separator/>
      </w:r>
    </w:p>
  </w:footnote>
  <w:footnote w:type="continuationSeparator" w:id="0">
    <w:p w:rsidR="009A0BD3" w:rsidRDefault="009A0BD3" w:rsidP="00830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B1843"/>
    <w:multiLevelType w:val="hybridMultilevel"/>
    <w:tmpl w:val="CE1209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61"/>
    <w:rsid w:val="00080859"/>
    <w:rsid w:val="001D1FC2"/>
    <w:rsid w:val="001E5A23"/>
    <w:rsid w:val="002863BD"/>
    <w:rsid w:val="002B3C25"/>
    <w:rsid w:val="002C19C5"/>
    <w:rsid w:val="00303EDF"/>
    <w:rsid w:val="00412564"/>
    <w:rsid w:val="004929A3"/>
    <w:rsid w:val="004A4940"/>
    <w:rsid w:val="004D4A59"/>
    <w:rsid w:val="005126F0"/>
    <w:rsid w:val="00531229"/>
    <w:rsid w:val="005505EF"/>
    <w:rsid w:val="005C3B7B"/>
    <w:rsid w:val="005C7569"/>
    <w:rsid w:val="006461A7"/>
    <w:rsid w:val="006B4AB2"/>
    <w:rsid w:val="00784737"/>
    <w:rsid w:val="008123B4"/>
    <w:rsid w:val="008304BB"/>
    <w:rsid w:val="00881903"/>
    <w:rsid w:val="008B1A37"/>
    <w:rsid w:val="00967EE6"/>
    <w:rsid w:val="009A0BD3"/>
    <w:rsid w:val="00A07F52"/>
    <w:rsid w:val="00A82E3A"/>
    <w:rsid w:val="00AD3287"/>
    <w:rsid w:val="00B22361"/>
    <w:rsid w:val="00B2607D"/>
    <w:rsid w:val="00B41838"/>
    <w:rsid w:val="00BF7745"/>
    <w:rsid w:val="00D37BA4"/>
    <w:rsid w:val="00D45133"/>
    <w:rsid w:val="00DA6313"/>
    <w:rsid w:val="00DB02E3"/>
    <w:rsid w:val="00EB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223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2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361"/>
    <w:rPr>
      <w:rFonts w:ascii="Tahoma" w:hAnsi="Tahoma" w:cs="Tahoma"/>
      <w:sz w:val="16"/>
      <w:szCs w:val="16"/>
    </w:rPr>
  </w:style>
  <w:style w:type="paragraph" w:styleId="a5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Texto de nota al p"/>
    <w:basedOn w:val="a"/>
    <w:link w:val="a6"/>
    <w:uiPriority w:val="99"/>
    <w:unhideWhenUsed/>
    <w:rsid w:val="008304BB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5"/>
    <w:uiPriority w:val="99"/>
    <w:rsid w:val="008304BB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aliases w:val="Знак сноски 1,Знак сноски-FN,Ciae niinee-FN,SUPERS,Referencia nota al pie,fr,Used by Word for Help footnote symbols"/>
    <w:uiPriority w:val="99"/>
    <w:unhideWhenUsed/>
    <w:rsid w:val="008304BB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4A49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223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2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361"/>
    <w:rPr>
      <w:rFonts w:ascii="Tahoma" w:hAnsi="Tahoma" w:cs="Tahoma"/>
      <w:sz w:val="16"/>
      <w:szCs w:val="16"/>
    </w:rPr>
  </w:style>
  <w:style w:type="paragraph" w:styleId="a5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Texto de nota al p"/>
    <w:basedOn w:val="a"/>
    <w:link w:val="a6"/>
    <w:uiPriority w:val="99"/>
    <w:unhideWhenUsed/>
    <w:rsid w:val="008304BB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5"/>
    <w:uiPriority w:val="99"/>
    <w:rsid w:val="008304BB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aliases w:val="Знак сноски 1,Знак сноски-FN,Ciae niinee-FN,SUPERS,Referencia nota al pie,fr,Used by Word for Help footnote symbols"/>
    <w:uiPriority w:val="99"/>
    <w:unhideWhenUsed/>
    <w:rsid w:val="008304BB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4A4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6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123123</Company>
  <LinksUpToDate>false</LinksUpToDate>
  <CharactersWithSpaces>13408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ntl</dc:creator>
  <cp:lastModifiedBy>SklyarovaMS</cp:lastModifiedBy>
  <cp:revision>3</cp:revision>
  <cp:lastPrinted>2016-03-26T06:37:00Z</cp:lastPrinted>
  <dcterms:created xsi:type="dcterms:W3CDTF">2016-03-26T06:41:00Z</dcterms:created>
  <dcterms:modified xsi:type="dcterms:W3CDTF">2016-03-27T09:07:00Z</dcterms:modified>
</cp:coreProperties>
</file>